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EA8E7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眉山天府新区2023（TR）-18号、2023（TR）-37号</w:t>
      </w:r>
    </w:p>
    <w:p w14:paraId="3683F853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地块土壤污染状况初步调查</w:t>
      </w:r>
      <w:r>
        <w:rPr>
          <w:rFonts w:hint="eastAsia" w:cs="Times New Roman"/>
          <w:b/>
          <w:bCs/>
          <w:color w:val="auto"/>
          <w:lang w:val="en-US" w:eastAsia="zh-CN"/>
        </w:rPr>
        <w:t>公示</w:t>
      </w:r>
    </w:p>
    <w:p w14:paraId="4B92CC5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2023（TR）-18号、2023（TR）-37号地块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位于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四川省眉山市仁寿县视高街道环天快速通道两侧，其中包括2023（TR）-18号地块、2023（TR）-37号地块共2个地块，占地面积共53176.86平方米</w:t>
      </w:r>
      <w:r>
        <w:rPr>
          <w:rFonts w:hint="eastAsia" w:ascii="Times New Roman" w:hAnsi="Times New Roman" w:cs="Times New Roman"/>
          <w:color w:val="auto"/>
          <w:highlight w:val="none"/>
          <w:vertAlign w:val="baseline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主要为道路两侧的绿地，延绵长度约8.2公里，</w:t>
      </w:r>
      <w:r>
        <w:rPr>
          <w:rFonts w:hint="eastAsia"/>
          <w:color w:val="auto"/>
          <w:highlight w:val="none"/>
          <w:lang w:val="en-US" w:eastAsia="zh-CN"/>
        </w:rPr>
        <w:t>该地块原为耕地、农户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根据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《眉山天府新区划拨地块规划设计条件》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（天府眉规设〔2023〕15号和天府眉规设〔2023〕20号）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2023（TR）-18号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地块规划为G1（公园绿地）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2023（TR）-37号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地块规划为G（绿地与广场用地）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根据《国土空间调查、规划、用途管制用地海分类指南（试行）》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结合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GB50137-2011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中对用地性质描述，确认本项目2个地块用地性质属绿地与开敞空间用地中的防护绿地，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对照GB36600-2018为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第二类用地。</w:t>
      </w:r>
    </w:p>
    <w:p w14:paraId="62C669C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通过现场踏勘、人员访谈以及查阅历史资料可知，地块内历史不存在规模化养殖场、有毒有害物质储存与输送，未涉及环境污染事故、危险废物堆放、固废堆放与倾倒、固废填埋、工业废水污染等，造成土壤污染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的可能较小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 xml:space="preserve">。 </w:t>
      </w:r>
    </w:p>
    <w:p w14:paraId="7C6C5D5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地块周边区域地下水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 w:bidi="ar"/>
        </w:rPr>
        <w:t>不使用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，地块内土壤和地下水未受到污染；地块500m范围内存在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 w:bidi="ar"/>
        </w:rPr>
        <w:t>居民区、学校、耕地和地表水体等敏感目标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；</w:t>
      </w:r>
      <w:r>
        <w:rPr>
          <w:rFonts w:hint="default" w:cs="Times New Roman"/>
          <w:sz w:val="24"/>
          <w:szCs w:val="24"/>
          <w:lang w:val="en-US" w:eastAsia="zh-CN"/>
        </w:rPr>
        <w:t>地块周边500m范围内</w:t>
      </w:r>
      <w:r>
        <w:rPr>
          <w:rFonts w:hint="eastAsia" w:cs="Times New Roman"/>
          <w:sz w:val="24"/>
          <w:szCs w:val="24"/>
          <w:lang w:val="en-US" w:eastAsia="zh-CN"/>
        </w:rPr>
        <w:t>有</w:t>
      </w:r>
      <w:r>
        <w:rPr>
          <w:rFonts w:hint="default" w:cs="Times New Roman"/>
          <w:sz w:val="24"/>
          <w:szCs w:val="24"/>
          <w:lang w:val="en-US" w:eastAsia="zh-CN"/>
        </w:rPr>
        <w:t>工业企业</w:t>
      </w:r>
      <w:r>
        <w:rPr>
          <w:rFonts w:hint="eastAsia" w:cs="Times New Roman"/>
          <w:sz w:val="24"/>
          <w:szCs w:val="24"/>
          <w:lang w:val="en-US" w:eastAsia="zh-CN"/>
        </w:rPr>
        <w:t>，经分析对</w:t>
      </w:r>
      <w:r>
        <w:rPr>
          <w:rFonts w:hint="default" w:cs="Times New Roman"/>
          <w:sz w:val="24"/>
          <w:szCs w:val="24"/>
          <w:lang w:val="en-US" w:eastAsia="zh-CN"/>
        </w:rPr>
        <w:t>本地块的污染影响较小可忽略不计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 xml:space="preserve">。 </w:t>
      </w:r>
    </w:p>
    <w:p w14:paraId="4C4DF12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综上所述，本地块内现状和历史上均无可能的污染源，地块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受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污染的可能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 w:eastAsia="zh-CN" w:bidi="ar"/>
        </w:rPr>
        <w:t>极小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。本报告认为该地块的环境状况可以接受，第一阶段土壤污染状况调查工作可以结束，无需进入第二阶段的调查。评估地块不属于污染地块，可作为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 w:bidi="ar"/>
        </w:rPr>
        <w:t>第二类用地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使用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。</w:t>
      </w:r>
    </w:p>
    <w:p w14:paraId="41CA1A9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bookmarkStart w:id="0" w:name="_GoBack"/>
      <w:bookmarkEnd w:id="0"/>
    </w:p>
    <w:p w14:paraId="59B66744">
      <w:pPr>
        <w:rPr>
          <w:rFonts w:hint="eastAsia"/>
          <w:color w:val="auto"/>
          <w:highlight w:val="none"/>
          <w:lang w:val="en-US" w:eastAsia="zh-CN"/>
        </w:rPr>
      </w:pPr>
    </w:p>
    <w:p w14:paraId="5086FF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jQ3MjBlNjgwMDZiYTk1NjRkMjY1ZmM2ZDNjY2IifQ=="/>
  </w:docVars>
  <w:rsids>
    <w:rsidRoot w:val="00000000"/>
    <w:rsid w:val="046248DD"/>
    <w:rsid w:val="131134CA"/>
    <w:rsid w:val="197A277D"/>
    <w:rsid w:val="1BCF32EA"/>
    <w:rsid w:val="204809D3"/>
    <w:rsid w:val="289724F8"/>
    <w:rsid w:val="2E437EA4"/>
    <w:rsid w:val="41173D7E"/>
    <w:rsid w:val="47E0311C"/>
    <w:rsid w:val="47E268D5"/>
    <w:rsid w:val="54C55B73"/>
    <w:rsid w:val="579637F7"/>
    <w:rsid w:val="6166248C"/>
    <w:rsid w:val="66E96DCF"/>
    <w:rsid w:val="67FD341E"/>
    <w:rsid w:val="754B57C9"/>
    <w:rsid w:val="79627585"/>
    <w:rsid w:val="797572B9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720" w:firstLineChars="200"/>
      <w:jc w:val="left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/>
      <w:spacing w:after="120" w:line="240" w:lineRule="auto"/>
      <w:ind w:left="420" w:leftChars="200" w:firstLine="420"/>
    </w:pPr>
    <w:rPr>
      <w:rFonts w:ascii="Calibri" w:hAnsi="Calibri"/>
      <w:sz w:val="20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spacing w:line="440" w:lineRule="exact"/>
      <w:ind w:firstLine="560"/>
    </w:pPr>
    <w:rPr>
      <w:rFonts w:ascii="宋体"/>
      <w:sz w:val="24"/>
    </w:rPr>
  </w:style>
  <w:style w:type="paragraph" w:styleId="4">
    <w:name w:val="toc 3"/>
    <w:basedOn w:val="1"/>
    <w:next w:val="1"/>
    <w:autoRedefine/>
    <w:qFormat/>
    <w:uiPriority w:val="39"/>
    <w:pPr>
      <w:ind w:left="0" w:leftChars="0" w:firstLine="7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663</Characters>
  <Lines>0</Lines>
  <Paragraphs>0</Paragraphs>
  <TotalTime>0</TotalTime>
  <ScaleCrop>false</ScaleCrop>
  <LinksUpToDate>false</LinksUpToDate>
  <CharactersWithSpaces>663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2023-12-28T02:16:00Z</dcterms:created>
  <dc:creator>Administrator</dc:creator>
  <cp:lastModifiedBy>邹涛</cp:lastModifiedBy>
  <dcterms:modified xsi:type="dcterms:W3CDTF">2024-06-24T09:46:33Z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BFA3736AD0A940FF8A3B6A6E7EDD64B9_12</vt:lpwstr>
  </property>
</Properties>
</file>