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CD090">
      <w:pPr>
        <w:keepNext w:val="0"/>
        <w:keepLines w:val="0"/>
        <w:widowControl/>
        <w:suppressLineNumbers w:val="0"/>
        <w:ind w:left="0" w:leftChars="0" w:firstLine="0" w:firstLineChars="0"/>
        <w:jc w:val="center"/>
        <w:rPr>
          <w:rFonts w:hint="eastAsia" w:ascii="Times New Roman" w:hAnsi="Times New Roman" w:cs="Times New Roman"/>
          <w:color w:val="auto"/>
          <w:lang w:val="en-US" w:eastAsia="zh-CN"/>
        </w:rPr>
      </w:pPr>
      <w:r>
        <w:rPr>
          <w:rFonts w:hint="eastAsia" w:cs="Times New Roman"/>
          <w:b/>
          <w:bCs/>
          <w:color w:val="auto"/>
          <w:lang w:val="en-US" w:eastAsia="zh-CN"/>
        </w:rPr>
        <w:t>眉山天府新区原川港二期项目（2023（TR）-51号、2023（TR）-52号、2023（TR）-54号）地块土壤污染状况初步调查公示</w:t>
      </w:r>
    </w:p>
    <w:p w14:paraId="40A1519D">
      <w:pPr>
        <w:keepNext w:val="0"/>
        <w:keepLines w:val="0"/>
        <w:widowControl/>
        <w:suppressLineNumbers w:val="0"/>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眉山天府新区原川港二期项目（2023（TR）-51号、2023（TR）-52号、2023（TR）-54号）地块位于</w:t>
      </w:r>
      <w:r>
        <w:rPr>
          <w:rFonts w:hint="eastAsia" w:ascii="Times New Roman" w:hAnsi="Times New Roman" w:eastAsia="宋体" w:cs="Times New Roman"/>
          <w:lang w:val="en-US" w:eastAsia="zh-CN"/>
        </w:rPr>
        <w:t>四川省眉山市仁寿县</w:t>
      </w:r>
      <w:bookmarkStart w:id="0" w:name="_GoBack"/>
      <w:bookmarkEnd w:id="0"/>
      <w:r>
        <w:rPr>
          <w:rFonts w:hint="eastAsia" w:ascii="Times New Roman" w:hAnsi="Times New Roman" w:eastAsia="宋体" w:cs="Times New Roman"/>
          <w:lang w:val="en-US" w:eastAsia="zh-CN"/>
        </w:rPr>
        <w:t>视高街道川港大道南侧，天府大道西侧</w:t>
      </w:r>
      <w:r>
        <w:rPr>
          <w:rFonts w:hint="eastAsia" w:ascii="Times New Roman" w:hAnsi="Times New Roman" w:cs="Times New Roman"/>
          <w:color w:val="auto"/>
          <w:highlight w:val="none"/>
          <w:lang w:val="en-US" w:eastAsia="zh-CN"/>
        </w:rPr>
        <w:t>，包括2023（TR）-51号地块、2023（TR）-52号地块、2023（TR）-54号地块共3个地块，占地面积共69281.71平方米。根据四川天府新区眉山管理委员会规划和自然资源局出具的情况说明（见附件四），</w:t>
      </w:r>
      <w:r>
        <w:rPr>
          <w:rFonts w:hint="eastAsia"/>
          <w:sz w:val="24"/>
          <w:szCs w:val="21"/>
          <w:highlight w:val="none"/>
          <w:vertAlign w:val="baseline"/>
          <w:lang w:val="en-US" w:eastAsia="zh-CN"/>
        </w:rPr>
        <w:t>将3个地块合并为一个地块进行调查，</w:t>
      </w:r>
      <w:r>
        <w:rPr>
          <w:rFonts w:hint="eastAsia" w:ascii="Times New Roman" w:hAnsi="Times New Roman" w:cs="Times New Roman"/>
          <w:color w:val="auto"/>
          <w:highlight w:val="none"/>
          <w:lang w:val="en-US" w:eastAsia="zh-CN"/>
        </w:rPr>
        <w:t>各地块用地性质见下表：</w:t>
      </w: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567"/>
        <w:gridCol w:w="1004"/>
        <w:gridCol w:w="1299"/>
        <w:gridCol w:w="1665"/>
        <w:gridCol w:w="2115"/>
      </w:tblGrid>
      <w:tr w14:paraId="1F91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6" w:type="dxa"/>
            <w:vMerge w:val="restart"/>
            <w:noWrap w:val="0"/>
            <w:vAlign w:val="center"/>
          </w:tcPr>
          <w:p w14:paraId="14A970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地块编号</w:t>
            </w:r>
          </w:p>
        </w:tc>
        <w:tc>
          <w:tcPr>
            <w:tcW w:w="1567" w:type="dxa"/>
            <w:vMerge w:val="restart"/>
            <w:noWrap w:val="0"/>
            <w:vAlign w:val="center"/>
          </w:tcPr>
          <w:p w14:paraId="65E31F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规划文件</w:t>
            </w:r>
          </w:p>
        </w:tc>
        <w:tc>
          <w:tcPr>
            <w:tcW w:w="1004" w:type="dxa"/>
            <w:vMerge w:val="restart"/>
            <w:noWrap w:val="0"/>
            <w:vAlign w:val="center"/>
          </w:tcPr>
          <w:p w14:paraId="521196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面积（m</w:t>
            </w:r>
            <w:r>
              <w:rPr>
                <w:rFonts w:hint="default" w:ascii="Times New Roman" w:hAnsi="Times New Roman" w:eastAsia="宋体" w:cs="Times New Roman"/>
                <w:b/>
                <w:bCs/>
                <w:sz w:val="21"/>
                <w:szCs w:val="21"/>
                <w:vertAlign w:val="superscript"/>
                <w:lang w:val="en-US" w:eastAsia="zh-CN"/>
              </w:rPr>
              <w:t>2</w:t>
            </w:r>
            <w:r>
              <w:rPr>
                <w:rFonts w:hint="default" w:ascii="Times New Roman" w:hAnsi="Times New Roman" w:eastAsia="宋体" w:cs="Times New Roman"/>
                <w:b/>
                <w:bCs/>
                <w:sz w:val="21"/>
                <w:szCs w:val="21"/>
                <w:vertAlign w:val="baseline"/>
                <w:lang w:val="en-US" w:eastAsia="zh-CN"/>
              </w:rPr>
              <w:t>）</w:t>
            </w:r>
          </w:p>
        </w:tc>
        <w:tc>
          <w:tcPr>
            <w:tcW w:w="1299" w:type="dxa"/>
            <w:vMerge w:val="restart"/>
            <w:noWrap w:val="0"/>
            <w:vAlign w:val="center"/>
          </w:tcPr>
          <w:p w14:paraId="0FD8F1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规划用途</w:t>
            </w:r>
          </w:p>
        </w:tc>
        <w:tc>
          <w:tcPr>
            <w:tcW w:w="3780" w:type="dxa"/>
            <w:gridSpan w:val="2"/>
            <w:noWrap w:val="0"/>
            <w:vAlign w:val="center"/>
          </w:tcPr>
          <w:p w14:paraId="10293E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标准</w:t>
            </w:r>
          </w:p>
        </w:tc>
      </w:tr>
      <w:tr w14:paraId="1DEB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6" w:type="dxa"/>
            <w:vMerge w:val="continue"/>
            <w:noWrap w:val="0"/>
            <w:vAlign w:val="center"/>
          </w:tcPr>
          <w:p w14:paraId="4B80D7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p>
        </w:tc>
        <w:tc>
          <w:tcPr>
            <w:tcW w:w="1567" w:type="dxa"/>
            <w:vMerge w:val="continue"/>
            <w:noWrap w:val="0"/>
            <w:vAlign w:val="center"/>
          </w:tcPr>
          <w:p w14:paraId="2CB5F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p>
        </w:tc>
        <w:tc>
          <w:tcPr>
            <w:tcW w:w="1004" w:type="dxa"/>
            <w:vMerge w:val="continue"/>
            <w:noWrap w:val="0"/>
            <w:vAlign w:val="center"/>
          </w:tcPr>
          <w:p w14:paraId="096E33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p>
        </w:tc>
        <w:tc>
          <w:tcPr>
            <w:tcW w:w="1299" w:type="dxa"/>
            <w:vMerge w:val="continue"/>
            <w:noWrap w:val="0"/>
            <w:vAlign w:val="center"/>
          </w:tcPr>
          <w:p w14:paraId="52B741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p>
        </w:tc>
        <w:tc>
          <w:tcPr>
            <w:tcW w:w="1665" w:type="dxa"/>
            <w:noWrap w:val="0"/>
            <w:vAlign w:val="center"/>
          </w:tcPr>
          <w:p w14:paraId="4121D5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城市用地分类与规划建设用地标准GB50137-2011</w:t>
            </w:r>
          </w:p>
        </w:tc>
        <w:tc>
          <w:tcPr>
            <w:tcW w:w="2115" w:type="dxa"/>
            <w:noWrap w:val="0"/>
            <w:vAlign w:val="center"/>
          </w:tcPr>
          <w:p w14:paraId="7B785E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土壤环境质量建设用地土壤污染风险管控标准(试行) GB36600-2018</w:t>
            </w:r>
          </w:p>
        </w:tc>
      </w:tr>
      <w:tr w14:paraId="7BD1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noWrap w:val="0"/>
            <w:vAlign w:val="center"/>
          </w:tcPr>
          <w:p w14:paraId="33E8EB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2023（TR）-51号</w:t>
            </w:r>
          </w:p>
        </w:tc>
        <w:tc>
          <w:tcPr>
            <w:tcW w:w="1567" w:type="dxa"/>
            <w:noWrap w:val="0"/>
            <w:vAlign w:val="center"/>
          </w:tcPr>
          <w:p w14:paraId="63BBBB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天府眉规设〔2023〕354号</w:t>
            </w:r>
          </w:p>
        </w:tc>
        <w:tc>
          <w:tcPr>
            <w:tcW w:w="1004" w:type="dxa"/>
            <w:noWrap w:val="0"/>
            <w:vAlign w:val="center"/>
          </w:tcPr>
          <w:p w14:paraId="625D46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14378.12</w:t>
            </w:r>
          </w:p>
        </w:tc>
        <w:tc>
          <w:tcPr>
            <w:tcW w:w="1299" w:type="dxa"/>
            <w:noWrap w:val="0"/>
            <w:vAlign w:val="center"/>
          </w:tcPr>
          <w:p w14:paraId="723113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B（商业服务业设施用地）</w:t>
            </w:r>
          </w:p>
        </w:tc>
        <w:tc>
          <w:tcPr>
            <w:tcW w:w="1665" w:type="dxa"/>
            <w:noWrap w:val="0"/>
            <w:vAlign w:val="center"/>
          </w:tcPr>
          <w:p w14:paraId="420EAA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B（商业服务业设施用地）</w:t>
            </w:r>
          </w:p>
        </w:tc>
        <w:tc>
          <w:tcPr>
            <w:tcW w:w="2115" w:type="dxa"/>
            <w:noWrap w:val="0"/>
            <w:vAlign w:val="center"/>
          </w:tcPr>
          <w:p w14:paraId="5B58DA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第二类用地</w:t>
            </w:r>
          </w:p>
        </w:tc>
      </w:tr>
      <w:tr w14:paraId="1DC2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noWrap w:val="0"/>
            <w:vAlign w:val="center"/>
          </w:tcPr>
          <w:p w14:paraId="6DAF8F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2023（TR）-52号</w:t>
            </w:r>
          </w:p>
        </w:tc>
        <w:tc>
          <w:tcPr>
            <w:tcW w:w="1567" w:type="dxa"/>
            <w:noWrap w:val="0"/>
            <w:vAlign w:val="center"/>
          </w:tcPr>
          <w:p w14:paraId="25533B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天府眉规设〔2023〕355号</w:t>
            </w:r>
          </w:p>
        </w:tc>
        <w:tc>
          <w:tcPr>
            <w:tcW w:w="1004" w:type="dxa"/>
            <w:noWrap w:val="0"/>
            <w:vAlign w:val="center"/>
          </w:tcPr>
          <w:p w14:paraId="4FDC89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43243.25</w:t>
            </w:r>
          </w:p>
        </w:tc>
        <w:tc>
          <w:tcPr>
            <w:tcW w:w="1299" w:type="dxa"/>
            <w:noWrap w:val="0"/>
            <w:vAlign w:val="center"/>
          </w:tcPr>
          <w:p w14:paraId="733385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B（商业服务业设施用地）</w:t>
            </w:r>
          </w:p>
        </w:tc>
        <w:tc>
          <w:tcPr>
            <w:tcW w:w="1665" w:type="dxa"/>
            <w:noWrap w:val="0"/>
            <w:vAlign w:val="center"/>
          </w:tcPr>
          <w:p w14:paraId="25C640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B（商业服务业设施用地）</w:t>
            </w:r>
          </w:p>
        </w:tc>
        <w:tc>
          <w:tcPr>
            <w:tcW w:w="2115" w:type="dxa"/>
            <w:noWrap w:val="0"/>
            <w:vAlign w:val="center"/>
          </w:tcPr>
          <w:p w14:paraId="04BE0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第二类用地</w:t>
            </w:r>
          </w:p>
        </w:tc>
      </w:tr>
      <w:tr w14:paraId="340A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noWrap w:val="0"/>
            <w:vAlign w:val="center"/>
          </w:tcPr>
          <w:p w14:paraId="0FD0B6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2023（TR）-54号</w:t>
            </w:r>
          </w:p>
        </w:tc>
        <w:tc>
          <w:tcPr>
            <w:tcW w:w="1567" w:type="dxa"/>
            <w:noWrap w:val="0"/>
            <w:vAlign w:val="center"/>
          </w:tcPr>
          <w:p w14:paraId="387656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天府眉规设〔2023〕350号</w:t>
            </w:r>
          </w:p>
        </w:tc>
        <w:tc>
          <w:tcPr>
            <w:tcW w:w="1004" w:type="dxa"/>
            <w:noWrap w:val="0"/>
            <w:vAlign w:val="center"/>
          </w:tcPr>
          <w:p w14:paraId="24EB32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11660.34</w:t>
            </w:r>
          </w:p>
        </w:tc>
        <w:tc>
          <w:tcPr>
            <w:tcW w:w="1299" w:type="dxa"/>
            <w:noWrap w:val="0"/>
            <w:vAlign w:val="center"/>
          </w:tcPr>
          <w:p w14:paraId="3ABE43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B（商业服务业设施用地）</w:t>
            </w:r>
          </w:p>
        </w:tc>
        <w:tc>
          <w:tcPr>
            <w:tcW w:w="1665" w:type="dxa"/>
            <w:noWrap w:val="0"/>
            <w:vAlign w:val="center"/>
          </w:tcPr>
          <w:p w14:paraId="7AAFEF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B（商业服务业设施用地）</w:t>
            </w:r>
          </w:p>
        </w:tc>
        <w:tc>
          <w:tcPr>
            <w:tcW w:w="2115" w:type="dxa"/>
            <w:noWrap w:val="0"/>
            <w:vAlign w:val="center"/>
          </w:tcPr>
          <w:p w14:paraId="6DAA08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第二类用地</w:t>
            </w:r>
          </w:p>
        </w:tc>
      </w:tr>
    </w:tbl>
    <w:p w14:paraId="288D13E4">
      <w:pPr>
        <w:keepNext w:val="0"/>
        <w:keepLines w:val="0"/>
        <w:widowControl/>
        <w:suppressLineNumbers w:val="0"/>
        <w:jc w:val="left"/>
        <w:rPr>
          <w:rFonts w:hint="eastAsia" w:ascii="Times New Roman" w:hAnsi="Times New Roman" w:cs="Times New Roman"/>
          <w:color w:val="auto"/>
          <w:highlight w:val="none"/>
          <w:lang w:val="en-US" w:eastAsia="zh-CN"/>
        </w:rPr>
      </w:pPr>
    </w:p>
    <w:p w14:paraId="3AEE0A35">
      <w:pPr>
        <w:keepNext w:val="0"/>
        <w:keepLines w:val="0"/>
        <w:widowControl/>
        <w:suppressLineNumbers w:val="0"/>
        <w:jc w:val="left"/>
        <w:rPr>
          <w:rFonts w:hint="eastAsia" w:ascii="Times New Roman" w:hAnsi="Times New Roman" w:eastAsia="宋体" w:cs="Times New Roman"/>
          <w:color w:val="auto"/>
          <w:highlight w:val="yellow"/>
          <w:lang w:val="en-US" w:eastAsia="zh-CN"/>
        </w:rPr>
      </w:pPr>
      <w:r>
        <w:rPr>
          <w:rFonts w:hint="eastAsia" w:ascii="Times New Roman" w:hAnsi="Times New Roman" w:cs="Times New Roman"/>
          <w:color w:val="auto"/>
          <w:highlight w:val="none"/>
          <w:lang w:val="en-US" w:eastAsia="zh-CN"/>
        </w:rPr>
        <w:t>眉山天府新区原川港二期项目（2023（TR）-51号、2023（TR）-52号、2023（TR）-54号）地块历史上主要为</w:t>
      </w:r>
      <w:r>
        <w:rPr>
          <w:rFonts w:hint="eastAsia" w:ascii="Times New Roman" w:hAnsi="Times New Roman" w:eastAsia="宋体" w:cs="Times New Roman"/>
          <w:color w:val="auto"/>
          <w:highlight w:val="none"/>
          <w:lang w:val="en-US" w:eastAsia="zh-CN"/>
        </w:rPr>
        <w:t>耕地、池塘、荒地</w:t>
      </w:r>
      <w:r>
        <w:rPr>
          <w:rFonts w:hint="eastAsia" w:ascii="Times New Roman" w:hAnsi="Times New Roman" w:cs="Times New Roman"/>
          <w:color w:val="auto"/>
          <w:highlight w:val="none"/>
          <w:lang w:val="en-US" w:eastAsia="zh-CN"/>
        </w:rPr>
        <w:t>，</w:t>
      </w:r>
      <w:r>
        <w:rPr>
          <w:rFonts w:hint="default" w:ascii="Times New Roman" w:hAnsi="Times New Roman" w:cs="Times New Roman"/>
          <w:kern w:val="2"/>
          <w:sz w:val="24"/>
          <w:szCs w:val="24"/>
          <w:highlight w:val="none"/>
          <w:lang w:val="en-US" w:eastAsia="zh-CN" w:bidi="ar-SA"/>
        </w:rPr>
        <w:t>根据《中华人民共和国土壤污染防治法》中第五十九条：</w:t>
      </w:r>
      <w:r>
        <w:rPr>
          <w:rFonts w:hint="eastAsia" w:ascii="宋体" w:hAnsi="宋体" w:eastAsia="宋体" w:cs="宋体"/>
          <w:kern w:val="2"/>
          <w:sz w:val="24"/>
          <w:szCs w:val="24"/>
          <w:highlight w:val="none"/>
          <w:lang w:val="en-US" w:eastAsia="zh-CN" w:bidi="ar-SA"/>
        </w:rPr>
        <w:t>“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w:t>
      </w:r>
      <w:r>
        <w:rPr>
          <w:rFonts w:hint="eastAsia" w:ascii="Times New Roman" w:hAnsi="Times New Roman" w:cs="Times New Roman"/>
          <w:color w:val="auto"/>
          <w:highlight w:val="none"/>
          <w:lang w:val="en-US" w:eastAsia="zh-CN"/>
        </w:rPr>
        <w:t>眉山天府新区原川港二期项目（2023（TR）-51号、2023（TR）-52号、2023（TR）-54号）地块规划性质均为B（商业服务业设施用地），虽然不</w:t>
      </w:r>
      <w:r>
        <w:rPr>
          <w:rFonts w:hint="eastAsia" w:ascii="宋体" w:hAnsi="宋体" w:cs="宋体"/>
          <w:kern w:val="2"/>
          <w:sz w:val="24"/>
          <w:szCs w:val="24"/>
          <w:highlight w:val="none"/>
          <w:lang w:val="en-US" w:eastAsia="zh-CN" w:bidi="ar-SA"/>
        </w:rPr>
        <w:t>属于</w:t>
      </w:r>
      <w:r>
        <w:rPr>
          <w:rFonts w:hint="eastAsia" w:ascii="宋体" w:hAnsi="宋体" w:eastAsia="宋体" w:cs="宋体"/>
          <w:kern w:val="2"/>
          <w:sz w:val="24"/>
          <w:szCs w:val="24"/>
          <w:highlight w:val="none"/>
          <w:lang w:val="en-US" w:eastAsia="zh-CN" w:bidi="ar-SA"/>
        </w:rPr>
        <w:t>用途变更为住宅用地的类型，但为减少本地块再开发利用过程中可能带来的环境问题，确保后续用地接触人群人身安全，四川天府新区眉山管理委员会规划和自然资源局</w:t>
      </w:r>
      <w:r>
        <w:rPr>
          <w:rFonts w:hint="default" w:ascii="Times New Roman" w:hAnsi="Times New Roman" w:cs="Times New Roman"/>
          <w:sz w:val="24"/>
          <w:szCs w:val="24"/>
          <w:highlight w:val="none"/>
          <w:lang w:val="en-US"/>
        </w:rPr>
        <w:t>委托四川</w:t>
      </w:r>
      <w:r>
        <w:rPr>
          <w:rFonts w:hint="eastAsia" w:cs="Times New Roman"/>
          <w:sz w:val="24"/>
          <w:szCs w:val="24"/>
          <w:highlight w:val="none"/>
          <w:lang w:val="en-US" w:eastAsia="zh-CN"/>
        </w:rPr>
        <w:t>和鉴</w:t>
      </w:r>
      <w:r>
        <w:rPr>
          <w:rFonts w:hint="default" w:ascii="Times New Roman" w:hAnsi="Times New Roman" w:cs="Times New Roman"/>
          <w:sz w:val="24"/>
          <w:szCs w:val="24"/>
          <w:highlight w:val="none"/>
          <w:lang w:val="en-US"/>
        </w:rPr>
        <w:t>检测技术有限公司开展</w:t>
      </w:r>
      <w:r>
        <w:rPr>
          <w:rFonts w:hint="eastAsia" w:ascii="Times New Roman" w:hAnsi="Times New Roman" w:cs="Times New Roman"/>
          <w:color w:val="auto"/>
          <w:highlight w:val="none"/>
          <w:lang w:val="en-US" w:eastAsia="zh-CN"/>
        </w:rPr>
        <w:t>眉山天府新区原川港二期项目（2023（TR）-51号、2023（TR）-52号、2023（TR）-54号）地块</w:t>
      </w:r>
      <w:r>
        <w:rPr>
          <w:rFonts w:hint="default" w:ascii="Times New Roman" w:hAnsi="Times New Roman" w:cs="Times New Roman"/>
          <w:sz w:val="24"/>
          <w:szCs w:val="24"/>
          <w:highlight w:val="none"/>
        </w:rPr>
        <w:t>土壤污染状况</w:t>
      </w:r>
      <w:r>
        <w:rPr>
          <w:rFonts w:hint="eastAsia" w:ascii="Times New Roman" w:hAnsi="Times New Roman" w:cs="Times New Roman"/>
          <w:sz w:val="24"/>
          <w:szCs w:val="24"/>
          <w:highlight w:val="none"/>
          <w:lang w:val="en-US" w:eastAsia="zh-CN"/>
        </w:rPr>
        <w:t>初步</w:t>
      </w:r>
      <w:r>
        <w:rPr>
          <w:rFonts w:hint="default" w:ascii="Times New Roman" w:hAnsi="Times New Roman" w:cs="Times New Roman"/>
          <w:sz w:val="24"/>
          <w:szCs w:val="24"/>
          <w:highlight w:val="none"/>
        </w:rPr>
        <w:t>调查评估工作</w:t>
      </w:r>
      <w:r>
        <w:rPr>
          <w:rFonts w:hint="eastAsia" w:ascii="Times New Roman" w:hAnsi="Times New Roman" w:cs="Times New Roman"/>
          <w:sz w:val="24"/>
          <w:szCs w:val="24"/>
          <w:highlight w:val="none"/>
          <w:lang w:eastAsia="zh-CN"/>
        </w:rPr>
        <w:t>。</w:t>
      </w:r>
    </w:p>
    <w:p w14:paraId="624A72F7">
      <w:pPr>
        <w:keepNext w:val="0"/>
        <w:keepLines w:val="0"/>
        <w:widowControl/>
        <w:suppressLineNumbers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在接收到委托后，四川和鉴检测技术有限公司于2023年10月组织人员对眉山天府新区原川港二期项目（2023（TR）-51号、2023（TR）-52号、2023（TR）-54号）地块现场进行了现场踏勘，在对相关资料进行收集与分析，人员访谈与现场踏勘的基础上认为该地块不是疑似污染地块，认为地块的环境状况可以接受，调查活动可以结束。</w:t>
      </w:r>
    </w:p>
    <w:p w14:paraId="09CD3D30">
      <w:pPr>
        <w:keepNext w:val="0"/>
        <w:keepLines w:val="0"/>
        <w:widowControl/>
        <w:suppressLineNumbers w:val="0"/>
        <w:jc w:val="left"/>
        <w:rPr>
          <w:rFonts w:hint="default" w:ascii="Times New Roman" w:hAnsi="Times New Roman" w:cs="Times New Roman"/>
          <w:color w:val="auto"/>
          <w:highlight w:val="none"/>
          <w:lang w:val="en-US" w:eastAsia="zh-CN"/>
        </w:rPr>
      </w:pPr>
    </w:p>
    <w:p w14:paraId="1784D327">
      <w:pPr>
        <w:rPr>
          <w:rFonts w:hint="eastAsia"/>
          <w:color w:val="auto"/>
          <w:highlight w:val="none"/>
          <w:lang w:val="en-US" w:eastAsia="zh-CN"/>
        </w:rPr>
      </w:pPr>
    </w:p>
    <w:p w14:paraId="6548FF4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46248DD"/>
    <w:rsid w:val="131134CA"/>
    <w:rsid w:val="197A277D"/>
    <w:rsid w:val="1BCF32EA"/>
    <w:rsid w:val="204809D3"/>
    <w:rsid w:val="289724F8"/>
    <w:rsid w:val="2E437EA4"/>
    <w:rsid w:val="41173D7E"/>
    <w:rsid w:val="47E0311C"/>
    <w:rsid w:val="54C55B73"/>
    <w:rsid w:val="579637F7"/>
    <w:rsid w:val="60F95CFA"/>
    <w:rsid w:val="6166248C"/>
    <w:rsid w:val="66E96DCF"/>
    <w:rsid w:val="67FD341E"/>
    <w:rsid w:val="754B57C9"/>
    <w:rsid w:val="79627585"/>
    <w:rsid w:val="797572B9"/>
    <w:rsid w:val="7EB5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0" w:firstLineChars="200"/>
      <w:jc w:val="left"/>
    </w:pPr>
    <w:rPr>
      <w:rFonts w:ascii="Times New Roman" w:hAnsi="Times New Roman" w:eastAsia="宋体" w:cs="黑体"/>
      <w:kern w:val="2"/>
      <w:sz w:val="24"/>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adjustRightInd/>
      <w:spacing w:after="120" w:line="240" w:lineRule="auto"/>
      <w:ind w:left="420" w:leftChars="200" w:firstLine="420"/>
    </w:pPr>
    <w:rPr>
      <w:rFonts w:ascii="Calibri" w:hAnsi="Calibri"/>
      <w:sz w:val="20"/>
      <w:szCs w:val="24"/>
    </w:rPr>
  </w:style>
  <w:style w:type="paragraph" w:styleId="3">
    <w:name w:val="Body Text Indent"/>
    <w:basedOn w:val="1"/>
    <w:next w:val="4"/>
    <w:autoRedefine/>
    <w:qFormat/>
    <w:uiPriority w:val="0"/>
    <w:pPr>
      <w:spacing w:line="440" w:lineRule="exact"/>
      <w:ind w:firstLine="560"/>
    </w:pPr>
    <w:rPr>
      <w:rFonts w:ascii="宋体"/>
      <w:sz w:val="24"/>
    </w:rPr>
  </w:style>
  <w:style w:type="paragraph" w:styleId="4">
    <w:name w:val="toc 3"/>
    <w:basedOn w:val="1"/>
    <w:next w:val="1"/>
    <w:autoRedefine/>
    <w:qFormat/>
    <w:uiPriority w:val="39"/>
    <w:pPr>
      <w:ind w:left="0" w:leftChars="0" w:firstLine="720" w:firstLineChars="200"/>
    </w:pPr>
    <w:rPr>
      <w:rFonts w:ascii="Times New Roman" w:hAnsi="Times New Roman"/>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596</Words>
  <Characters>663</Characters>
  <Lines>0</Lines>
  <Paragraphs>0</Paragraphs>
  <TotalTime>0</TotalTime>
  <ScaleCrop>false</ScaleCrop>
  <LinksUpToDate>false</LinksUpToDate>
  <CharactersWithSpaces>663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2023-12-28T02:16:00Z</dcterms:created>
  <dc:creator>Administrator</dc:creator>
  <cp:lastModifiedBy>邹涛</cp:lastModifiedBy>
  <dcterms:modified xsi:type="dcterms:W3CDTF">2024-06-24T09:54:20Z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BFA3736AD0A940FF8A3B6A6E7EDD64B9_12</vt:lpwstr>
  </property>
</Properties>
</file>